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8347C4">
        <w:rPr>
          <w:rFonts w:ascii="Times New Roman" w:hAnsi="Times New Roman" w:cs="Times New Roman"/>
          <w:b/>
        </w:rPr>
        <w:t>1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DF1B90">
        <w:rPr>
          <w:rFonts w:ascii="Times New Roman" w:hAnsi="Times New Roman" w:cs="Times New Roman"/>
        </w:rPr>
        <w:t xml:space="preserve">внутридомовых инженерных систем </w:t>
      </w:r>
      <w:r w:rsidR="001F5855">
        <w:rPr>
          <w:rFonts w:ascii="Times New Roman" w:hAnsi="Times New Roman" w:cs="Times New Roman"/>
        </w:rPr>
        <w:t xml:space="preserve">электроснабжения </w:t>
      </w:r>
      <w:r w:rsidR="00056A58" w:rsidRPr="00B20A57">
        <w:rPr>
          <w:rFonts w:ascii="Times New Roman" w:hAnsi="Times New Roman" w:cs="Times New Roman"/>
        </w:rPr>
        <w:t>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DD018A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F6030A" w:rsidRDefault="00F6030A" w:rsidP="00F603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DD018A">
              <w:rPr>
                <w:rFonts w:ascii="Times New Roman" w:hAnsi="Times New Roman" w:cs="Times New Roman"/>
                <w:szCs w:val="24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  <w:szCs w:val="24"/>
              </w:rPr>
              <w:t>Хабаровский р-н,</w:t>
            </w:r>
          </w:p>
          <w:p w:rsidR="001434D4" w:rsidRPr="00604433" w:rsidRDefault="00F6030A" w:rsidP="001F5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с. Ракитное, пер. </w:t>
            </w:r>
            <w:r w:rsidR="001F5855">
              <w:rPr>
                <w:rFonts w:ascii="Times New Roman" w:hAnsi="Times New Roman" w:cs="Times New Roman"/>
                <w:szCs w:val="24"/>
              </w:rPr>
              <w:t>Школьный 1,2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1F5855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DF1B90">
              <w:rPr>
                <w:rFonts w:ascii="Times New Roman" w:hAnsi="Times New Roman" w:cs="Times New Roman"/>
              </w:rPr>
              <w:t xml:space="preserve">внутридомовых </w:t>
            </w:r>
            <w:r w:rsidR="00604433" w:rsidRPr="00604433">
              <w:rPr>
                <w:rFonts w:ascii="Times New Roman" w:hAnsi="Times New Roman" w:cs="Times New Roman"/>
                <w:szCs w:val="24"/>
              </w:rPr>
              <w:t>инже</w:t>
            </w:r>
            <w:r w:rsidR="001F5855">
              <w:rPr>
                <w:rFonts w:ascii="Times New Roman" w:hAnsi="Times New Roman" w:cs="Times New Roman"/>
                <w:szCs w:val="24"/>
              </w:rPr>
              <w:t xml:space="preserve">нерных систем электроснабжения </w:t>
            </w:r>
            <w:r w:rsidR="00310EE3">
              <w:rPr>
                <w:rFonts w:ascii="Times New Roman" w:hAnsi="Times New Roman" w:cs="Times New Roman"/>
              </w:rPr>
              <w:t>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инженерных сетей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766CCD">
              <w:rPr>
                <w:rFonts w:ascii="Times New Roman" w:hAnsi="Times New Roman" w:cs="Times New Roman"/>
              </w:rPr>
              <w:t xml:space="preserve"> </w:t>
            </w:r>
            <w:r w:rsidR="0000591A">
              <w:rPr>
                <w:rFonts w:ascii="Times New Roman" w:hAnsi="Times New Roman" w:cs="Times New Roman"/>
              </w:rPr>
              <w:t>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Дефектная ведомость отражает фактическое состояние 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или частей, находящихся в неудовлетворительном </w:t>
            </w: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 </w:t>
            </w:r>
            <w:r>
              <w:rPr>
                <w:rFonts w:ascii="Times New Roman" w:hAnsi="Times New Roman" w:cs="Times New Roman"/>
                <w:lang w:eastAsia="x-none"/>
              </w:rPr>
              <w:t xml:space="preserve">внутридомовых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инженерных систем</w:t>
            </w:r>
            <w:r w:rsidR="0000591A"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00591A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результаты обследования для определения технологии ремонта и оценки технического состояния инженерных систем и т.д.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FD5606" w:rsidRPr="00FD5606" w:rsidRDefault="00DA67A5" w:rsidP="00DA67A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6B1173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FD5606"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DF1B90" w:rsidRPr="00E766C6" w:rsidRDefault="00E766C6" w:rsidP="00E766C6">
            <w:pPr>
              <w:widowControl w:val="0"/>
              <w:ind w:right="15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BE49A2" w:rsidRPr="00E766C6">
              <w:rPr>
                <w:rFonts w:ascii="Times New Roman" w:hAnsi="Times New Roman" w:cs="Times New Roman"/>
                <w:bCs/>
              </w:rPr>
              <w:t xml:space="preserve">. </w:t>
            </w:r>
            <w:r w:rsidR="00DF1B90" w:rsidRPr="00E766C6">
              <w:rPr>
                <w:rFonts w:ascii="Times New Roman" w:hAnsi="Times New Roman" w:cs="Times New Roman"/>
                <w:iCs/>
              </w:rPr>
              <w:t>Раздел «Сведения об инженерном оборудовании, о сетях инженерно-технического обеспечения, перечень инженерно-технических мероприятий, содер</w:t>
            </w:r>
            <w:r w:rsidR="001F5855" w:rsidRPr="00E766C6">
              <w:rPr>
                <w:rFonts w:ascii="Times New Roman" w:hAnsi="Times New Roman" w:cs="Times New Roman"/>
                <w:iCs/>
              </w:rPr>
              <w:t>жание технологических решений».</w:t>
            </w:r>
            <w:r w:rsidR="00DF1B90" w:rsidRPr="00E766C6">
              <w:rPr>
                <w:rFonts w:ascii="Times New Roman" w:hAnsi="Times New Roman" w:cs="Times New Roman"/>
                <w:iCs/>
              </w:rPr>
              <w:t xml:space="preserve"> «Внутридомовая систем</w:t>
            </w:r>
            <w:r w:rsidR="00132BB3" w:rsidRPr="00E766C6">
              <w:rPr>
                <w:rFonts w:ascii="Times New Roman" w:hAnsi="Times New Roman" w:cs="Times New Roman"/>
                <w:iCs/>
              </w:rPr>
              <w:t>а электроснабжения».</w:t>
            </w:r>
            <w:r w:rsidR="00DF1B90" w:rsidRPr="00E766C6">
              <w:rPr>
                <w:rFonts w:ascii="Times New Roman" w:hAnsi="Times New Roman" w:cs="Times New Roman"/>
                <w:iCs/>
              </w:rPr>
              <w:t xml:space="preserve"> </w:t>
            </w:r>
            <w:r w:rsidR="00132BB3" w:rsidRPr="00E766C6">
              <w:rPr>
                <w:rFonts w:ascii="Times New Roman" w:hAnsi="Times New Roman" w:cs="Times New Roman"/>
                <w:iCs/>
              </w:rPr>
              <w:t>Д</w:t>
            </w:r>
            <w:r w:rsidR="00DF1B90" w:rsidRPr="00E766C6">
              <w:rPr>
                <w:rFonts w:ascii="Times New Roman" w:hAnsi="Times New Roman" w:cs="Times New Roman"/>
                <w:iCs/>
              </w:rPr>
              <w:t>олжен содержать необходимый объем работ по капитальному ремонту внутридомовой системы электроснабжения здания (план подвала, 1-го этажа, 2-го и последующих, план чердака (при наличии), на чертежах указать диаметр труб и сечение кабеля (провода), принципиальная схема ВРУ, схема поэтажных щитов с разводкой</w:t>
            </w:r>
            <w:bookmarkStart w:id="0" w:name="_GoBack"/>
            <w:bookmarkEnd w:id="0"/>
            <w:r w:rsidR="00DF1B90" w:rsidRPr="00E766C6">
              <w:rPr>
                <w:rFonts w:ascii="Times New Roman" w:hAnsi="Times New Roman" w:cs="Times New Roman"/>
                <w:iCs/>
              </w:rPr>
              <w:t xml:space="preserve"> до индивидуального (поквартирного) прибора учета, схема выравн</w:t>
            </w:r>
            <w:r w:rsidR="00A47E7C" w:rsidRPr="00E766C6">
              <w:rPr>
                <w:rFonts w:ascii="Times New Roman" w:hAnsi="Times New Roman" w:cs="Times New Roman"/>
                <w:iCs/>
              </w:rPr>
              <w:t>ивания потенциалов (заземление).</w:t>
            </w:r>
          </w:p>
          <w:p w:rsidR="0084393A" w:rsidRPr="00B20A57" w:rsidRDefault="00E766C6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E766C6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9467BD" w:rsidRPr="009467BD" w:rsidRDefault="009467BD" w:rsidP="00132BB3">
            <w:pPr>
              <w:autoSpaceDE w:val="0"/>
              <w:autoSpaceDN w:val="0"/>
              <w:adjustRightInd w:val="0"/>
              <w:ind w:right="150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="001F5855">
              <w:rPr>
                <w:rFonts w:ascii="Times New Roman" w:eastAsia="Calibri" w:hAnsi="Times New Roman" w:cs="Times New Roman"/>
              </w:rPr>
              <w:t xml:space="preserve">внутридомовой инженерной </w:t>
            </w:r>
            <w:r w:rsidRPr="00E766C6">
              <w:rPr>
                <w:rFonts w:ascii="Times New Roman" w:eastAsia="Calibri" w:hAnsi="Times New Roman" w:cs="Times New Roman"/>
              </w:rPr>
              <w:t>системы электроснабжения</w:t>
            </w:r>
            <w:r w:rsidRPr="009467BD">
              <w:rPr>
                <w:rFonts w:ascii="Times New Roman" w:eastAsia="Calibri" w:hAnsi="Times New Roman" w:cs="Times New Roman"/>
              </w:rPr>
              <w:t xml:space="preserve"> предусмотреть:</w:t>
            </w:r>
          </w:p>
          <w:p w:rsidR="009467BD" w:rsidRPr="009467BD" w:rsidRDefault="00E36D2B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9467BD">
              <w:rPr>
                <w:rFonts w:ascii="Times New Roman" w:eastAsia="Calibri" w:hAnsi="Times New Roman" w:cs="Times New Roman"/>
              </w:rPr>
              <w:t xml:space="preserve">амену ВРУ, этажных щитков </w:t>
            </w:r>
            <w:r w:rsidR="009467BD" w:rsidRPr="009467BD">
              <w:rPr>
                <w:rFonts w:ascii="Times New Roman" w:eastAsia="Calibri" w:hAnsi="Times New Roman" w:cs="Times New Roman"/>
              </w:rPr>
              <w:t>с автоматическими выключателями;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замену внутридомовых распределитель</w:t>
            </w:r>
            <w:r>
              <w:rPr>
                <w:rFonts w:ascii="Times New Roman" w:eastAsia="Calibri" w:hAnsi="Times New Roman" w:cs="Times New Roman"/>
              </w:rPr>
              <w:t xml:space="preserve">ных и групповых сетей, уличное </w:t>
            </w:r>
            <w:r w:rsidRPr="009467BD">
              <w:rPr>
                <w:rFonts w:ascii="Times New Roman" w:eastAsia="Calibri" w:hAnsi="Times New Roman" w:cs="Times New Roman"/>
              </w:rPr>
              <w:t>освещение подключить к БАУО с фотореле;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lastRenderedPageBreak/>
              <w:t>в МОП предусмотреть датчики движения;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выполнить заземление </w:t>
            </w:r>
            <w:r w:rsidRPr="009467BD">
              <w:rPr>
                <w:rFonts w:ascii="Times New Roman" w:eastAsia="Calibri" w:hAnsi="Times New Roman" w:cs="Times New Roman"/>
              </w:rPr>
              <w:t>с выравнивание потенциалов;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смену всей электропроводки с резиновой изоляцией на провода и кабели с медными жилами, рассчитанным</w:t>
            </w:r>
            <w:r w:rsidR="006F7E9B">
              <w:rPr>
                <w:rFonts w:ascii="Times New Roman" w:eastAsia="Calibri" w:hAnsi="Times New Roman" w:cs="Times New Roman"/>
              </w:rPr>
              <w:t>и на повышенное напряжение;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ПУЭ  «Правила устройства</w:t>
            </w:r>
            <w:r w:rsidR="00302598" w:rsidRPr="00B20A57">
              <w:rPr>
                <w:rFonts w:ascii="Times New Roman" w:hAnsi="Times New Roman" w:cs="Times New Roman"/>
                <w:lang w:val="x-none" w:eastAsia="x-none"/>
              </w:rPr>
              <w:t xml:space="preserve"> электроустановок. 7-е издание», утвержденное приказом Минэнерго РФ от 08.07.2002 </w:t>
            </w:r>
            <w:r w:rsidR="00302598" w:rsidRPr="00B20A57">
              <w:rPr>
                <w:rFonts w:ascii="Times New Roman" w:hAnsi="Times New Roman" w:cs="Times New Roman"/>
                <w:lang w:eastAsia="x-none"/>
              </w:rPr>
              <w:t>№ 204;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</w:t>
            </w:r>
            <w:r w:rsidRPr="00132BB3">
              <w:rPr>
                <w:rFonts w:ascii="Times New Roman" w:hAnsi="Times New Roman" w:cs="Times New Roman"/>
              </w:rPr>
              <w:lastRenderedPageBreak/>
              <w:t>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32BB3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132BB3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 xml:space="preserve"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</w:t>
            </w:r>
            <w:proofErr w:type="spellStart"/>
            <w:r w:rsidRPr="00766CCD">
              <w:rPr>
                <w:rFonts w:ascii="Times New Roman" w:hAnsi="Times New Roman" w:cs="Times New Roman"/>
              </w:rPr>
              <w:t>экз</w:t>
            </w:r>
            <w:proofErr w:type="spellEnd"/>
            <w:r w:rsidRPr="00766CCD">
              <w:rPr>
                <w:rFonts w:ascii="Times New Roman" w:hAnsi="Times New Roman" w:cs="Times New Roman"/>
              </w:rPr>
              <w:t>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lastRenderedPageBreak/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36C" w:rsidRDefault="006D136C" w:rsidP="00D15872">
      <w:pPr>
        <w:spacing w:after="0" w:line="240" w:lineRule="auto"/>
      </w:pPr>
      <w:r>
        <w:separator/>
      </w:r>
    </w:p>
  </w:endnote>
  <w:endnote w:type="continuationSeparator" w:id="0">
    <w:p w:rsidR="006D136C" w:rsidRDefault="006D136C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6C6">
          <w:rPr>
            <w:noProof/>
          </w:rPr>
          <w:t>2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36C" w:rsidRDefault="006D136C" w:rsidP="00D15872">
      <w:pPr>
        <w:spacing w:after="0" w:line="240" w:lineRule="auto"/>
      </w:pPr>
      <w:r>
        <w:separator/>
      </w:r>
    </w:p>
  </w:footnote>
  <w:footnote w:type="continuationSeparator" w:id="0">
    <w:p w:rsidR="006D136C" w:rsidRDefault="006D136C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5688F"/>
    <w:multiLevelType w:val="hybridMultilevel"/>
    <w:tmpl w:val="0D36164E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8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0" w15:restartNumberingAfterBreak="0">
    <w:nsid w:val="60A15A07"/>
    <w:multiLevelType w:val="hybridMultilevel"/>
    <w:tmpl w:val="8312EDCA"/>
    <w:lvl w:ilvl="0" w:tplc="DEE46ACC">
      <w:start w:val="1"/>
      <w:numFmt w:val="decimal"/>
      <w:lvlText w:val="%1)"/>
      <w:lvlJc w:val="left"/>
      <w:pPr>
        <w:ind w:left="62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1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 w15:restartNumberingAfterBreak="0">
    <w:nsid w:val="6DC853E8"/>
    <w:multiLevelType w:val="hybridMultilevel"/>
    <w:tmpl w:val="8BDA8C7C"/>
    <w:lvl w:ilvl="0" w:tplc="182CB368">
      <w:start w:val="1"/>
      <w:numFmt w:val="decimal"/>
      <w:lvlText w:val="%1)"/>
      <w:lvlJc w:val="left"/>
      <w:pPr>
        <w:ind w:left="62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4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CC0DC0"/>
    <w:multiLevelType w:val="hybridMultilevel"/>
    <w:tmpl w:val="61C419C8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12"/>
  </w:num>
  <w:num w:numId="12">
    <w:abstractNumId w:val="14"/>
  </w:num>
  <w:num w:numId="13">
    <w:abstractNumId w:val="13"/>
  </w:num>
  <w:num w:numId="14">
    <w:abstractNumId w:val="10"/>
  </w:num>
  <w:num w:numId="15">
    <w:abstractNumId w:val="15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591A"/>
    <w:rsid w:val="00006941"/>
    <w:rsid w:val="00007D07"/>
    <w:rsid w:val="00011C19"/>
    <w:rsid w:val="00012415"/>
    <w:rsid w:val="00017B76"/>
    <w:rsid w:val="0004496C"/>
    <w:rsid w:val="00047F12"/>
    <w:rsid w:val="00056A58"/>
    <w:rsid w:val="00072A7D"/>
    <w:rsid w:val="000803A8"/>
    <w:rsid w:val="00080AFD"/>
    <w:rsid w:val="00082C00"/>
    <w:rsid w:val="00092463"/>
    <w:rsid w:val="000A5EF6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136C0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0875"/>
    <w:rsid w:val="001C7339"/>
    <w:rsid w:val="001F3078"/>
    <w:rsid w:val="001F5855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6B4C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7C01"/>
    <w:rsid w:val="00566231"/>
    <w:rsid w:val="00571B1A"/>
    <w:rsid w:val="00583E37"/>
    <w:rsid w:val="00583F6A"/>
    <w:rsid w:val="0058782C"/>
    <w:rsid w:val="00597734"/>
    <w:rsid w:val="005A4529"/>
    <w:rsid w:val="005C3C01"/>
    <w:rsid w:val="005C4B16"/>
    <w:rsid w:val="005D5315"/>
    <w:rsid w:val="005E6AE6"/>
    <w:rsid w:val="005F11D4"/>
    <w:rsid w:val="00603815"/>
    <w:rsid w:val="00604433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0E02"/>
    <w:rsid w:val="006A2540"/>
    <w:rsid w:val="006B0959"/>
    <w:rsid w:val="006B1173"/>
    <w:rsid w:val="006C32AC"/>
    <w:rsid w:val="006C4003"/>
    <w:rsid w:val="006D136C"/>
    <w:rsid w:val="006D4483"/>
    <w:rsid w:val="006E0DDC"/>
    <w:rsid w:val="006E2611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4233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47C4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7A8F"/>
    <w:rsid w:val="008C0B25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47E7C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4A3A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A67A5"/>
    <w:rsid w:val="00DC23E5"/>
    <w:rsid w:val="00DC355F"/>
    <w:rsid w:val="00DD018A"/>
    <w:rsid w:val="00DD3FDF"/>
    <w:rsid w:val="00DE0191"/>
    <w:rsid w:val="00DE41B7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766C6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4421E"/>
    <w:rsid w:val="00F51AA4"/>
    <w:rsid w:val="00F52C46"/>
    <w:rsid w:val="00F576DB"/>
    <w:rsid w:val="00F6030A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C12A6-1E66-45D3-9E57-285E4C65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3</cp:revision>
  <cp:lastPrinted>2017-02-20T04:13:00Z</cp:lastPrinted>
  <dcterms:created xsi:type="dcterms:W3CDTF">2017-02-20T04:13:00Z</dcterms:created>
  <dcterms:modified xsi:type="dcterms:W3CDTF">2017-02-20T04:23:00Z</dcterms:modified>
</cp:coreProperties>
</file>