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4E91" w:rsidRPr="00B20A57" w:rsidRDefault="00674E91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F45B2B">
        <w:rPr>
          <w:rFonts w:ascii="Times New Roman" w:hAnsi="Times New Roman" w:cs="Times New Roman"/>
        </w:rPr>
        <w:t xml:space="preserve">внутридомовых инженерных систем </w:t>
      </w:r>
      <w:r w:rsidR="00DD018A">
        <w:rPr>
          <w:rFonts w:ascii="Times New Roman" w:hAnsi="Times New Roman" w:cs="Times New Roman"/>
        </w:rPr>
        <w:t>электроснабжения, крыши</w:t>
      </w:r>
      <w:r w:rsidR="00056A58" w:rsidRPr="00B20A57">
        <w:rPr>
          <w:rFonts w:ascii="Times New Roman" w:hAnsi="Times New Roman" w:cs="Times New Roman"/>
        </w:rPr>
        <w:t xml:space="preserve"> 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D72568" w:rsidP="00D72568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DD018A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1434D4" w:rsidRPr="00DD018A" w:rsidRDefault="00DD018A" w:rsidP="00993C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DD018A">
              <w:rPr>
                <w:rFonts w:ascii="Times New Roman" w:hAnsi="Times New Roman" w:cs="Times New Roman"/>
                <w:szCs w:val="24"/>
              </w:rPr>
              <w:t xml:space="preserve">Хабаровский край, Ванинский р-н, р.п. Ванино, ул. Украинская 1, 3А, ул. </w:t>
            </w:r>
            <w:r w:rsidR="003F4C05">
              <w:rPr>
                <w:rFonts w:ascii="Times New Roman" w:hAnsi="Times New Roman" w:cs="Times New Roman"/>
                <w:szCs w:val="24"/>
              </w:rPr>
              <w:t>Клубная 21, 23, 26, ул</w:t>
            </w:r>
            <w:r w:rsidRPr="00DD018A">
              <w:rPr>
                <w:rFonts w:ascii="Times New Roman" w:hAnsi="Times New Roman" w:cs="Times New Roman"/>
                <w:szCs w:val="24"/>
              </w:rPr>
              <w:t>. Октябрьская 2, 4, 4А, 6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DD018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>капитальный ремонт</w:t>
            </w:r>
            <w:r w:rsidR="00F45B2B">
              <w:rPr>
                <w:rFonts w:ascii="Times New Roman" w:hAnsi="Times New Roman" w:cs="Times New Roman"/>
              </w:rPr>
              <w:t xml:space="preserve"> внутридомовых инженерных систем</w:t>
            </w:r>
            <w:r w:rsidR="00DD018A">
              <w:rPr>
                <w:rFonts w:ascii="Times New Roman" w:hAnsi="Times New Roman" w:cs="Times New Roman"/>
              </w:rPr>
              <w:t xml:space="preserve"> электроснабжения, крыши</w:t>
            </w:r>
            <w:r w:rsidR="00F45B2B">
              <w:rPr>
                <w:rFonts w:ascii="Times New Roman" w:hAnsi="Times New Roman" w:cs="Times New Roman"/>
              </w:rPr>
              <w:t xml:space="preserve"> 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DD018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Технический паспорт здания.</w:t>
            </w:r>
          </w:p>
        </w:tc>
      </w:tr>
      <w:tr w:rsidR="00F45B2B" w:rsidRPr="00B20A57" w:rsidTr="00B52E5C">
        <w:trPr>
          <w:trHeight w:val="547"/>
        </w:trPr>
        <w:tc>
          <w:tcPr>
            <w:tcW w:w="562" w:type="dxa"/>
          </w:tcPr>
          <w:p w:rsidR="00F45B2B" w:rsidRPr="00B20A57" w:rsidRDefault="00F45B2B" w:rsidP="00F45B2B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F45B2B" w:rsidRPr="00465FB3" w:rsidRDefault="003D2457" w:rsidP="00F45B2B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B20A57">
              <w:rPr>
                <w:rFonts w:ascii="Times New Roman" w:hAnsi="Times New Roman"/>
                <w:b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F45B2B" w:rsidRPr="00465FB3" w:rsidRDefault="00F45B2B" w:rsidP="00F45B2B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F45B2B" w:rsidRPr="00465FB3" w:rsidRDefault="00F45B2B" w:rsidP="00F45B2B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F45B2B" w:rsidRPr="00DD018A" w:rsidRDefault="00F45B2B" w:rsidP="00F45B2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F45B2B" w:rsidRPr="00DD018A" w:rsidRDefault="00F45B2B" w:rsidP="00F45B2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F45B2B" w:rsidRDefault="00F45B2B" w:rsidP="00F45B2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F45B2B" w:rsidRPr="00DD018A" w:rsidRDefault="00F45B2B" w:rsidP="00F45B2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C360B2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 w:rsidRPr="00B20A57">
              <w:rPr>
                <w:sz w:val="22"/>
                <w:szCs w:val="22"/>
              </w:rPr>
              <w:t xml:space="preserve">        </w:t>
            </w:r>
            <w:r w:rsidRPr="00B20A57">
              <w:rPr>
                <w:sz w:val="22"/>
                <w:szCs w:val="22"/>
                <w:u w:val="single"/>
              </w:rPr>
              <w:t xml:space="preserve"> </w:t>
            </w:r>
            <w:r w:rsidR="00F45B2B">
              <w:rPr>
                <w:sz w:val="22"/>
                <w:szCs w:val="22"/>
                <w:u w:val="single"/>
              </w:rPr>
              <w:t>6</w:t>
            </w:r>
            <w:r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895551" w:rsidRPr="00895551" w:rsidRDefault="00895551" w:rsidP="00895551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895551" w:rsidRPr="00895551" w:rsidRDefault="00895551" w:rsidP="00895551">
            <w:pPr>
              <w:widowControl w:val="0"/>
              <w:autoSpaceDE w:val="0"/>
              <w:autoSpaceDN w:val="0"/>
              <w:adjustRightInd w:val="0"/>
              <w:ind w:left="34"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 </w:t>
            </w:r>
            <w:r w:rsidRPr="00895551">
              <w:rPr>
                <w:rFonts w:ascii="Times New Roman" w:hAnsi="Times New Roman" w:cs="Times New Roman"/>
              </w:rPr>
              <w:t>Выполнить обследование объекта проектирования:</w:t>
            </w:r>
          </w:p>
          <w:p w:rsidR="00895551" w:rsidRPr="00895551" w:rsidRDefault="00895551" w:rsidP="00895551">
            <w:pPr>
              <w:keepNext/>
              <w:widowControl w:val="0"/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>измерение необходимых геометрических параметров конструкций, их элементов;</w:t>
            </w:r>
          </w:p>
          <w:p w:rsidR="00895551" w:rsidRPr="00895551" w:rsidRDefault="00895551" w:rsidP="00895551">
            <w:pPr>
              <w:keepNext/>
              <w:widowControl w:val="0"/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>характеристики существующего оборудования;</w:t>
            </w:r>
          </w:p>
          <w:p w:rsidR="00895551" w:rsidRPr="00895551" w:rsidRDefault="00895551" w:rsidP="00895551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>В состав отчета об обследовании объекта капитального ремонта входит:</w:t>
            </w:r>
          </w:p>
          <w:p w:rsidR="00895551" w:rsidRPr="00895551" w:rsidRDefault="00895551" w:rsidP="00BF3B8F">
            <w:pPr>
              <w:keepNext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>дефектная ведомость;</w:t>
            </w:r>
          </w:p>
          <w:p w:rsidR="00895551" w:rsidRPr="00895551" w:rsidRDefault="00895551" w:rsidP="00BF3B8F">
            <w:pPr>
              <w:keepNext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фотоотчет;  </w:t>
            </w:r>
          </w:p>
          <w:p w:rsidR="00895551" w:rsidRPr="00895551" w:rsidRDefault="00895551" w:rsidP="00895551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895551" w:rsidRPr="00895551" w:rsidRDefault="00895551" w:rsidP="00895551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>На основании результатов обследования выполнить разработку проектной документации в объеме необходимом для проведения строительно-монтажных работ по капитальному ремонту инженерных систем</w:t>
            </w:r>
            <w:r>
              <w:rPr>
                <w:rFonts w:ascii="Times New Roman" w:hAnsi="Times New Roman" w:cs="Times New Roman"/>
                <w:lang w:eastAsia="x-none"/>
              </w:rPr>
              <w:t xml:space="preserve">, кровли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895551" w:rsidRPr="00895551" w:rsidRDefault="00895551" w:rsidP="00895551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F45B2B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895551" w:rsidRPr="00895551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>результаты обследования для определения технологии ремонта и оценки технического состояния конструктивных элементов, инженерных систем и т.д. (</w:t>
            </w:r>
            <w:r w:rsidR="00895551" w:rsidRPr="00895551">
              <w:rPr>
                <w:rFonts w:ascii="Times New Roman" w:hAnsi="Times New Roman" w:cs="Times New Roman"/>
                <w:i/>
                <w:iCs/>
              </w:rPr>
              <w:t>в зависимости от предусмотренного вида работ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).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D16281" w:rsidRDefault="00D16281" w:rsidP="00D1628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2. Раздел «Архитектурно-строительные решения»</w:t>
            </w:r>
            <w:r w:rsidR="006B1173">
              <w:rPr>
                <w:rFonts w:ascii="Times New Roman" w:hAnsi="Times New Roman" w:cs="Times New Roman"/>
                <w:bCs/>
              </w:rPr>
              <w:t xml:space="preserve"> </w:t>
            </w:r>
            <w:r w:rsidR="006B1173" w:rsidRPr="006B1173">
              <w:rPr>
                <w:rFonts w:ascii="Times New Roman" w:hAnsi="Times New Roman" w:cs="Times New Roman"/>
                <w:iCs/>
              </w:rPr>
              <w:t xml:space="preserve">- </w:t>
            </w:r>
            <w:r w:rsidR="006B1173" w:rsidRPr="006B1173">
              <w:rPr>
                <w:rFonts w:ascii="Times New Roman" w:hAnsi="Times New Roman" w:cs="Times New Roman"/>
                <w:i/>
                <w:iCs/>
              </w:rPr>
              <w:t>для кровли</w:t>
            </w:r>
          </w:p>
          <w:p w:rsidR="006B1173" w:rsidRPr="006B1173" w:rsidRDefault="006B1173" w:rsidP="00BF3B8F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6B1173">
              <w:rPr>
                <w:rFonts w:ascii="Times New Roman" w:hAnsi="Times New Roman" w:cs="Times New Roman"/>
                <w:iCs/>
              </w:rPr>
              <w:t>Чертежи элементов кровли. Описание и обоснование технологии ремонта, позволяющего восстановить и улучшить внешний вид здания, без кардинального изменения архитектурно-композиционного решения застройки;</w:t>
            </w:r>
          </w:p>
          <w:p w:rsidR="006B1173" w:rsidRDefault="006B1173" w:rsidP="006B117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B20A57">
              <w:rPr>
                <w:rFonts w:ascii="Times New Roman" w:hAnsi="Times New Roman" w:cs="Times New Roman"/>
                <w:bCs/>
              </w:rPr>
              <w:t xml:space="preserve">. Раздел </w:t>
            </w:r>
            <w:r w:rsidRPr="006B1173">
              <w:rPr>
                <w:rFonts w:ascii="Times New Roman" w:hAnsi="Times New Roman" w:cs="Times New Roman"/>
                <w:iCs/>
              </w:rPr>
              <w:t>«Конструктивные и объёмно-планировочные решения»</w:t>
            </w:r>
          </w:p>
          <w:p w:rsidR="00FD5606" w:rsidRPr="00FD5606" w:rsidRDefault="00FD5606" w:rsidP="00FD5606">
            <w:pPr>
              <w:ind w:left="34" w:right="150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выводы по объемам и количеству работ по капитальному ремонту крыш основанные на работах, указанных в задании на проектирование, заключениях, изложенных в актах визуального обследования конструкций, дефектной ведомости;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планы, разрезы, узлы, схемы капитального ремонта строительных конструкций и узлов здания кровли спецификации к схемам капитального ремонта строительных конструкций здания, при необходимости расчеты строительных конструкций, описание работ по производству и технологической последовательности работ по капитальному ремонту строительных конструкций здания, антикоррозийной защите конструкций и д</w:t>
            </w:r>
            <w:r w:rsidR="001326DD">
              <w:rPr>
                <w:rFonts w:ascii="Times New Roman" w:hAnsi="Times New Roman" w:cs="Times New Roman"/>
                <w:iCs/>
              </w:rPr>
              <w:t xml:space="preserve">еталей, </w:t>
            </w:r>
            <w:proofErr w:type="spellStart"/>
            <w:r w:rsidR="001326DD">
              <w:rPr>
                <w:rFonts w:ascii="Times New Roman" w:hAnsi="Times New Roman" w:cs="Times New Roman"/>
                <w:iCs/>
              </w:rPr>
              <w:t>антисептирование</w:t>
            </w:r>
            <w:proofErr w:type="spellEnd"/>
            <w:r w:rsidR="001326DD">
              <w:rPr>
                <w:rFonts w:ascii="Times New Roman" w:hAnsi="Times New Roman" w:cs="Times New Roman"/>
                <w:iCs/>
              </w:rPr>
              <w:t>, а так</w:t>
            </w:r>
            <w:r w:rsidRPr="00FD5606">
              <w:rPr>
                <w:rFonts w:ascii="Times New Roman" w:hAnsi="Times New Roman" w:cs="Times New Roman"/>
                <w:iCs/>
              </w:rPr>
              <w:t>же: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плоской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выходов на кровлю, узлов и деталей сопряжений с элементами кровли (примыкания к парапетам, дымовентиляционным каналам, будки выхода на кровлю</w:t>
            </w:r>
            <w:r w:rsidR="001326DD">
              <w:rPr>
                <w:rFonts w:ascii="Times New Roman" w:hAnsi="Times New Roman" w:cs="Times New Roman"/>
                <w:iCs/>
              </w:rPr>
              <w:t>, к фановым трубам и антеннам);</w:t>
            </w:r>
            <w:r w:rsidRPr="00FD5606">
              <w:rPr>
                <w:rFonts w:ascii="Times New Roman" w:hAnsi="Times New Roman" w:cs="Times New Roman"/>
                <w:iCs/>
              </w:rPr>
              <w:t xml:space="preserve"> спецификация применяемого материала с указанием ГОСТ, ТУ объемов и </w:t>
            </w:r>
            <w:proofErr w:type="gramStart"/>
            <w:r w:rsidRPr="00FD5606">
              <w:rPr>
                <w:rFonts w:ascii="Times New Roman" w:hAnsi="Times New Roman" w:cs="Times New Roman"/>
                <w:iCs/>
              </w:rPr>
              <w:t>количества  на</w:t>
            </w:r>
            <w:proofErr w:type="gramEnd"/>
            <w:r w:rsidRPr="00FD5606">
              <w:rPr>
                <w:rFonts w:ascii="Times New Roman" w:hAnsi="Times New Roman" w:cs="Times New Roman"/>
                <w:iCs/>
              </w:rPr>
              <w:t xml:space="preserve">  крышу, чертежи утепления чердачного перекрытия (по мере необходимости), чертежи </w:t>
            </w:r>
            <w:r w:rsidRPr="00FD5606">
              <w:rPr>
                <w:rFonts w:ascii="Times New Roman" w:hAnsi="Times New Roman" w:cs="Times New Roman"/>
              </w:rPr>
              <w:lastRenderedPageBreak/>
              <w:t>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>. Описание и обоснование конструктивных решений по ремонту крыши,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каналов, карнизных плит,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чердачного перекрытия (по мере необходимости), замене кровельного покрытия, устройству изоляции. 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скатной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стропильной системы крыши, выходов в чердачное помещение,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каналов, </w:t>
            </w:r>
            <w:r w:rsidRPr="00FD5606">
              <w:rPr>
                <w:rFonts w:ascii="Times New Roman" w:hAnsi="Times New Roman" w:cs="Times New Roman"/>
                <w:iCs/>
              </w:rPr>
              <w:t xml:space="preserve">узлов и </w:t>
            </w:r>
            <w:proofErr w:type="gramStart"/>
            <w:r w:rsidRPr="00FD5606">
              <w:rPr>
                <w:rFonts w:ascii="Times New Roman" w:hAnsi="Times New Roman" w:cs="Times New Roman"/>
                <w:iCs/>
              </w:rPr>
              <w:t>деталей сопряжений с элементами крыши</w:t>
            </w:r>
            <w:proofErr w:type="gramEnd"/>
            <w:r w:rsidRPr="00FD5606">
              <w:rPr>
                <w:rFonts w:ascii="Times New Roman" w:hAnsi="Times New Roman" w:cs="Times New Roman"/>
                <w:iCs/>
              </w:rPr>
              <w:t xml:space="preserve"> и кровли (примыкания к дымовентиляционным каналам, к фановым трубам и антеннам, слуховым окнам, карнизным свесам); спецификация применяемого материала с указанием ГОСТ, ТУ объемов и количества на конструкцию крыши, кровлю, утепление чердачного перекрытия,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 xml:space="preserve">, слуховых окон. Описание и обоснование конструктивных решений по ремонту крыши, чердачного перекрытия, замене кровельного покрытия, стропильной системы, устройству продухов, ремонт дымовентиляционных каналам, устройству изоляции, </w:t>
            </w:r>
            <w:proofErr w:type="spellStart"/>
            <w:r w:rsidRPr="00FD5606">
              <w:rPr>
                <w:rFonts w:ascii="Times New Roman" w:hAnsi="Times New Roman" w:cs="Times New Roman"/>
                <w:iCs/>
              </w:rPr>
              <w:t>огнебиозащитную</w:t>
            </w:r>
            <w:proofErr w:type="spellEnd"/>
            <w:r w:rsidRPr="00FD5606">
              <w:rPr>
                <w:rFonts w:ascii="Times New Roman" w:hAnsi="Times New Roman" w:cs="Times New Roman"/>
                <w:iCs/>
              </w:rPr>
              <w:t xml:space="preserve"> обработку деревянных конструкций. 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BF3B8F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84393A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4. </w:t>
            </w:r>
            <w:r w:rsidR="0084393A" w:rsidRPr="00B20A57">
              <w:rPr>
                <w:rFonts w:ascii="Times New Roman" w:hAnsi="Times New Roman" w:cs="Times New Roman"/>
                <w:bCs/>
              </w:rPr>
              <w:t>Раздел «Решения по инженерному оборудованию»</w:t>
            </w:r>
          </w:p>
          <w:p w:rsidR="00FD5606" w:rsidRPr="00FD5606" w:rsidRDefault="00FD5606" w:rsidP="00FD5606">
            <w:pPr>
              <w:pStyle w:val="a5"/>
              <w:ind w:left="34" w:right="15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- </w:t>
            </w:r>
            <w:r w:rsidRPr="00FD5606">
              <w:rPr>
                <w:rFonts w:ascii="Times New Roman" w:hAnsi="Times New Roman" w:cs="Times New Roman"/>
                <w:b/>
                <w:iCs/>
              </w:rPr>
              <w:t>«</w:t>
            </w:r>
            <w:r w:rsidRPr="00FD5606">
              <w:rPr>
                <w:rFonts w:ascii="Times New Roman" w:hAnsi="Times New Roman" w:cs="Times New Roman"/>
                <w:iCs/>
              </w:rPr>
              <w:t>Внутридомовая система электроснабжения».</w:t>
            </w:r>
          </w:p>
          <w:p w:rsidR="00FD5606" w:rsidRPr="00FD5606" w:rsidRDefault="00FD5606" w:rsidP="00FD5606">
            <w:pPr>
              <w:pStyle w:val="a5"/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 xml:space="preserve">- должен содержать необходимый объем работ по капитальному ремонту внутридомовой системы электроснабжения здания (план подвала, 1-го этажа, 2-го и последующих, план чердака (при наличии), на чертежах указать диаметр труб и сечение кабеля (провода), принципиальная схема ВРУ, схема поэтажных щитов с разводкой до индивидуального (поквартирного) прибора учета, схема выравнивания потенциалов (заземление) и </w:t>
            </w:r>
            <w:proofErr w:type="spellStart"/>
            <w:r w:rsidRPr="00FD5606">
              <w:rPr>
                <w:rFonts w:ascii="Times New Roman" w:hAnsi="Times New Roman" w:cs="Times New Roman"/>
                <w:iCs/>
              </w:rPr>
              <w:t>молнезащиты</w:t>
            </w:r>
            <w:proofErr w:type="spellEnd"/>
            <w:r w:rsidRPr="00FD5606">
              <w:rPr>
                <w:rFonts w:ascii="Times New Roman" w:hAnsi="Times New Roman" w:cs="Times New Roman"/>
                <w:iCs/>
              </w:rPr>
              <w:t xml:space="preserve">). Акт визуального обследования (по внешним признакам износа) конструкций и сетей инженерно-технического обеспечения объекта капитального ремонта, дефектную ведомость </w:t>
            </w:r>
          </w:p>
          <w:p w:rsidR="0084393A" w:rsidRPr="00B20A57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5.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6.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F45B2B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9467BD">
            <w:pPr>
              <w:autoSpaceDE w:val="0"/>
              <w:autoSpaceDN w:val="0"/>
              <w:adjustRightInd w:val="0"/>
              <w:ind w:left="260" w:right="150" w:hanging="1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 xml:space="preserve">скатной крыши </w:t>
            </w:r>
            <w:r w:rsidRPr="009467BD">
              <w:rPr>
                <w:rFonts w:ascii="Times New Roman" w:hAnsi="Times New Roman" w:cs="Times New Roman"/>
              </w:rPr>
              <w:t>предусмотреть: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меры по обеспечению температурно-влажного режима в под кровельном пространстве</w:t>
            </w:r>
            <w:r w:rsidRPr="009467BD">
              <w:rPr>
                <w:rFonts w:ascii="Times New Roman" w:eastAsia="Calibri" w:hAnsi="Times New Roman" w:cs="Times New Roman"/>
              </w:rPr>
              <w:t xml:space="preserve"> д</w:t>
            </w:r>
            <w:r w:rsidRPr="009467BD">
              <w:rPr>
                <w:rFonts w:ascii="Times New Roman" w:hAnsi="Times New Roman" w:cs="Times New Roman"/>
              </w:rPr>
              <w:t>ля предотвращения проблемы образования сосулек на скатных кровлях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меры для предотвращения образования снежных мешков;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lastRenderedPageBreak/>
              <w:t>замену материала кровли с шифера на современный материал улучшенной характеристики (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металлочерепицу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или 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профнастил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>);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</w:t>
            </w:r>
            <w:r w:rsidR="00F808A2">
              <w:rPr>
                <w:rFonts w:ascii="Times New Roman" w:eastAsia="Arial Unicode MS" w:hAnsi="Times New Roman" w:cs="Times New Roman"/>
                <w:iCs/>
              </w:rPr>
              <w:t>нт (замену) стропильной системы;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продухов, ремонт или замена слуховых окон и других устройств для вентиляции чердачного пространства;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чердачного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замена </w:t>
            </w:r>
            <w:r w:rsidRPr="009467BD">
              <w:rPr>
                <w:rFonts w:ascii="Times New Roman" w:hAnsi="Times New Roman" w:cs="Times New Roman"/>
                <w:iCs/>
              </w:rPr>
              <w:t>утеплителя чердачного перекрытия (по мере необходимости)</w:t>
            </w:r>
            <w:r w:rsidR="006F7E9B">
              <w:rPr>
                <w:rFonts w:ascii="Times New Roman" w:hAnsi="Times New Roman" w:cs="Times New Roman"/>
                <w:iCs/>
              </w:rPr>
              <w:t>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7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hAnsi="Times New Roman" w:cs="Times New Roman"/>
                <w:iCs/>
              </w:rPr>
              <w:t xml:space="preserve">устройство </w:t>
            </w:r>
            <w:proofErr w:type="spellStart"/>
            <w:r w:rsidRPr="009467BD">
              <w:rPr>
                <w:rFonts w:ascii="Times New Roman" w:hAnsi="Times New Roman" w:cs="Times New Roman"/>
                <w:iCs/>
              </w:rPr>
              <w:t>молниезащиты</w:t>
            </w:r>
            <w:proofErr w:type="spellEnd"/>
            <w:r w:rsidRPr="009467BD">
              <w:rPr>
                <w:rFonts w:ascii="Times New Roman" w:hAnsi="Times New Roman" w:cs="Times New Roman"/>
                <w:iCs/>
              </w:rPr>
              <w:t xml:space="preserve"> и заземления</w:t>
            </w:r>
          </w:p>
          <w:p w:rsidR="009467BD" w:rsidRPr="009467BD" w:rsidRDefault="009467BD" w:rsidP="009467BD">
            <w:pPr>
              <w:autoSpaceDE w:val="0"/>
              <w:autoSpaceDN w:val="0"/>
              <w:adjustRightInd w:val="0"/>
              <w:ind w:left="260" w:right="147" w:hanging="1"/>
              <w:rPr>
                <w:rFonts w:ascii="Times New Roman" w:eastAsia="Calibri" w:hAnsi="Times New Roman" w:cs="Times New Roman"/>
              </w:rPr>
            </w:pPr>
          </w:p>
          <w:p w:rsidR="009467BD" w:rsidRPr="009467BD" w:rsidRDefault="009467BD" w:rsidP="009467BD">
            <w:pPr>
              <w:ind w:left="261" w:right="150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hAnsi="Times New Roman" w:cs="Times New Roman"/>
                <w:b/>
                <w:i/>
              </w:rPr>
              <w:t>плоской крыши</w:t>
            </w:r>
            <w:r w:rsidRPr="009467BD">
              <w:rPr>
                <w:rFonts w:ascii="Times New Roman" w:hAnsi="Times New Roman" w:cs="Times New Roman"/>
              </w:rPr>
              <w:t xml:space="preserve"> предусмотреть:</w:t>
            </w:r>
          </w:p>
          <w:p w:rsidR="009467BD" w:rsidRPr="009467BD" w:rsidRDefault="00E36D2B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467BD" w:rsidRPr="009467BD">
              <w:rPr>
                <w:rFonts w:ascii="Times New Roman" w:hAnsi="Times New Roman" w:cs="Times New Roman"/>
              </w:rPr>
              <w:t xml:space="preserve">стройство </w:t>
            </w:r>
            <w:proofErr w:type="spellStart"/>
            <w:r w:rsidR="009467BD" w:rsidRPr="009467BD">
              <w:rPr>
                <w:rFonts w:ascii="Times New Roman" w:hAnsi="Times New Roman" w:cs="Times New Roman"/>
              </w:rPr>
              <w:t>пароизоляции</w:t>
            </w:r>
            <w:proofErr w:type="spellEnd"/>
            <w:r w:rsidR="009467BD" w:rsidRPr="009467BD">
              <w:rPr>
                <w:rFonts w:ascii="Times New Roman" w:hAnsi="Times New Roman" w:cs="Times New Roman"/>
              </w:rPr>
              <w:t xml:space="preserve"> (по мере необходимости); 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замену утеплителя (по мере необходимости);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устройство новой стяжки;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замена материала кровли на современный материал улучшенной характеристики (наплавляемый материал должен быть на тканевой основе)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кровельного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>ремонт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или смена парапетов, карнизных плит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выходов на кровлю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BF3B8F">
            <w:pPr>
              <w:pStyle w:val="a5"/>
              <w:widowControl w:val="0"/>
              <w:numPr>
                <w:ilvl w:val="0"/>
                <w:numId w:val="8"/>
              </w:numPr>
              <w:ind w:right="150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устройство 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молниезащиты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 заземления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.</w:t>
            </w:r>
          </w:p>
          <w:p w:rsidR="009467BD" w:rsidRPr="009467BD" w:rsidRDefault="009467BD" w:rsidP="006F7E9B">
            <w:pPr>
              <w:pStyle w:val="a5"/>
              <w:ind w:left="621" w:right="150"/>
              <w:jc w:val="both"/>
              <w:rPr>
                <w:rFonts w:ascii="Times New Roman" w:hAnsi="Times New Roman" w:cs="Times New Roman"/>
              </w:rPr>
            </w:pPr>
          </w:p>
          <w:p w:rsidR="009467BD" w:rsidRPr="009467BD" w:rsidRDefault="009467BD" w:rsidP="009467BD">
            <w:pPr>
              <w:autoSpaceDE w:val="0"/>
              <w:autoSpaceDN w:val="0"/>
              <w:adjustRightInd w:val="0"/>
              <w:ind w:left="260" w:right="150" w:hanging="1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>системы электроснабжения</w:t>
            </w:r>
            <w:r w:rsidRPr="009467BD">
              <w:rPr>
                <w:rFonts w:ascii="Times New Roman" w:eastAsia="Calibri" w:hAnsi="Times New Roman" w:cs="Times New Roman"/>
              </w:rPr>
              <w:t xml:space="preserve"> предусмотреть:</w:t>
            </w:r>
          </w:p>
          <w:p w:rsidR="009467BD" w:rsidRPr="009467BD" w:rsidRDefault="00E36D2B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5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9467BD">
              <w:rPr>
                <w:rFonts w:ascii="Times New Roman" w:eastAsia="Calibri" w:hAnsi="Times New Roman" w:cs="Times New Roman"/>
              </w:rPr>
              <w:t xml:space="preserve">амену ВРУ, этажных щитков </w:t>
            </w:r>
            <w:r w:rsidR="009467BD" w:rsidRPr="009467BD">
              <w:rPr>
                <w:rFonts w:ascii="Times New Roman" w:eastAsia="Calibri" w:hAnsi="Times New Roman" w:cs="Times New Roman"/>
              </w:rPr>
              <w:t>с автоматическими выключателями;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50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замену внутридомовых распределитель</w:t>
            </w:r>
            <w:r>
              <w:rPr>
                <w:rFonts w:ascii="Times New Roman" w:eastAsia="Calibri" w:hAnsi="Times New Roman" w:cs="Times New Roman"/>
              </w:rPr>
              <w:t xml:space="preserve">ных и групповых сетей, уличное </w:t>
            </w:r>
            <w:r w:rsidRPr="009467BD">
              <w:rPr>
                <w:rFonts w:ascii="Times New Roman" w:eastAsia="Calibri" w:hAnsi="Times New Roman" w:cs="Times New Roman"/>
              </w:rPr>
              <w:t>освещение подключить к БАУО с фотореле;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50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в МОП предусмотреть датчики движения;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5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выполнить заземление </w:t>
            </w:r>
            <w:r w:rsidRPr="009467BD">
              <w:rPr>
                <w:rFonts w:ascii="Times New Roman" w:eastAsia="Calibri" w:hAnsi="Times New Roman" w:cs="Times New Roman"/>
              </w:rPr>
              <w:t>с выравнивание потенциалов;</w:t>
            </w:r>
          </w:p>
          <w:p w:rsidR="009467BD" w:rsidRPr="009467BD" w:rsidRDefault="009467BD" w:rsidP="00BF3B8F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50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смену всей электропроводки с резиновой изоляцией на провода и кабели с медными жилами, рассчитанным</w:t>
            </w:r>
            <w:r w:rsidR="006F7E9B">
              <w:rPr>
                <w:rFonts w:ascii="Times New Roman" w:eastAsia="Calibri" w:hAnsi="Times New Roman" w:cs="Times New Roman"/>
              </w:rPr>
              <w:t>и на повышенное напряжение;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9467BD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 xml:space="preserve">Проектную документацию разработать в объеме необходимом для проведения капитального ремонта в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lastRenderedPageBreak/>
              <w:t>соответствии с требованиями: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F808A2" w:rsidRPr="00F808A2" w:rsidRDefault="00F808A2" w:rsidP="00BF3B8F">
            <w:pPr>
              <w:keepNext/>
              <w:keepLines/>
              <w:widowControl w:val="0"/>
              <w:numPr>
                <w:ilvl w:val="0"/>
                <w:numId w:val="2"/>
              </w:numPr>
              <w:ind w:left="176" w:right="-66" w:hanging="142"/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 xml:space="preserve">РД 34.21.122-87 Инструкция по устройству </w:t>
            </w:r>
            <w:proofErr w:type="spellStart"/>
            <w:r w:rsidRPr="00F808A2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F808A2">
              <w:rPr>
                <w:rFonts w:ascii="Times New Roman" w:hAnsi="Times New Roman" w:cs="Times New Roman"/>
              </w:rPr>
              <w:t xml:space="preserve"> зданий и сооружений; </w:t>
            </w:r>
          </w:p>
          <w:p w:rsidR="003F21ED" w:rsidRPr="00B20A57" w:rsidRDefault="003F21ED" w:rsidP="00BF3B8F">
            <w:pPr>
              <w:pStyle w:val="a5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ПУЭ  «Правила устройства</w:t>
            </w:r>
            <w:r w:rsidR="00302598" w:rsidRPr="00B20A57">
              <w:rPr>
                <w:rFonts w:ascii="Times New Roman" w:hAnsi="Times New Roman" w:cs="Times New Roman"/>
                <w:lang w:val="x-none" w:eastAsia="x-none"/>
              </w:rPr>
              <w:t xml:space="preserve"> электроустановок. 7-е издание», утвержденное приказом Минэнерго РФ от 08.07.2002 </w:t>
            </w:r>
            <w:r w:rsidR="00302598" w:rsidRPr="00B20A57">
              <w:rPr>
                <w:rFonts w:ascii="Times New Roman" w:hAnsi="Times New Roman" w:cs="Times New Roman"/>
                <w:lang w:eastAsia="x-none"/>
              </w:rPr>
              <w:t>№ 204;</w:t>
            </w:r>
          </w:p>
          <w:p w:rsidR="003F21ED" w:rsidRPr="00B20A57" w:rsidRDefault="003F21ED" w:rsidP="00BF3B8F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BF3B8F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3F21ED" w:rsidP="00F808A2">
            <w:pPr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9467BD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9467BD">
              <w:rPr>
                <w:sz w:val="22"/>
              </w:rPr>
              <w:t>9.3.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9467BD" w:rsidP="00302598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>
              <w:rPr>
                <w:rFonts w:ascii="Times New Roman" w:hAnsi="Times New Roman" w:cs="Times New Roman"/>
              </w:rPr>
              <w:t xml:space="preserve"> </w:t>
            </w:r>
            <w:r w:rsidRPr="009467BD">
              <w:rPr>
                <w:rFonts w:ascii="Times New Roman" w:hAnsi="Times New Roman" w:cs="Times New Roman"/>
              </w:rPr>
              <w:t>81.2-99, МДС</w:t>
            </w:r>
            <w:r w:rsidR="00F808A2">
              <w:rPr>
                <w:rFonts w:ascii="Times New Roman" w:hAnsi="Times New Roman" w:cs="Times New Roman"/>
              </w:rPr>
              <w:t xml:space="preserve"> </w:t>
            </w:r>
            <w:r w:rsidRPr="009467BD">
              <w:rPr>
                <w:rFonts w:ascii="Times New Roman" w:hAnsi="Times New Roman" w:cs="Times New Roman"/>
              </w:rPr>
              <w:t>81.3-99, МДС 83.1-99,</w:t>
            </w:r>
            <w:r w:rsidR="00A8457E" w:rsidRPr="009467BD">
              <w:rPr>
                <w:rFonts w:ascii="Times New Roman" w:hAnsi="Times New Roman" w:cs="Times New Roman"/>
              </w:rPr>
              <w:t xml:space="preserve"> </w:t>
            </w:r>
            <w:r w:rsidR="00A8457E" w:rsidRPr="009467BD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9467BD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9467BD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 xml:space="preserve"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</w:t>
            </w:r>
            <w:r w:rsidRPr="009467BD">
              <w:rPr>
                <w:rFonts w:ascii="Times New Roman" w:hAnsi="Times New Roman" w:cs="Times New Roman"/>
              </w:rPr>
              <w:lastRenderedPageBreak/>
              <w:t>ценообразованию в строительстве Правительства Хабаровского края;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9467BD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Pr="009467BD" w:rsidRDefault="00A8457E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</w:p>
          <w:p w:rsidR="00F12B98" w:rsidRPr="009467BD" w:rsidRDefault="00F12B98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9467BD" w:rsidRDefault="00A8457E" w:rsidP="00BF3B8F">
            <w:pPr>
              <w:pStyle w:val="a5"/>
              <w:numPr>
                <w:ilvl w:val="0"/>
                <w:numId w:val="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9467BD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lastRenderedPageBreak/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9467BD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9467BD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9467BD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9467BD" w:rsidRDefault="00C360B2" w:rsidP="00BF3B8F">
            <w:pPr>
              <w:pStyle w:val="a5"/>
              <w:numPr>
                <w:ilvl w:val="0"/>
                <w:numId w:val="7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9467BD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</w:t>
            </w:r>
            <w:r w:rsidR="009467BD">
              <w:rPr>
                <w:rFonts w:ascii="Times New Roman" w:hAnsi="Times New Roman" w:cs="Times New Roman"/>
                <w:b/>
              </w:rPr>
              <w:t>2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5C3C01" w:rsidRPr="00B20A57" w:rsidRDefault="00C360B2" w:rsidP="00186071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DE0191" w:rsidRDefault="00DE0191" w:rsidP="002E3F6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E0191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3FE" w:rsidRDefault="00C203FE" w:rsidP="00D15872">
      <w:pPr>
        <w:spacing w:after="0" w:line="240" w:lineRule="auto"/>
      </w:pPr>
      <w:r>
        <w:separator/>
      </w:r>
    </w:p>
  </w:endnote>
  <w:endnote w:type="continuationSeparator" w:id="0">
    <w:p w:rsidR="00C203FE" w:rsidRDefault="00C203FE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E30">
          <w:rPr>
            <w:noProof/>
          </w:rPr>
          <w:t>6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3FE" w:rsidRDefault="00C203FE" w:rsidP="00D15872">
      <w:pPr>
        <w:spacing w:after="0" w:line="240" w:lineRule="auto"/>
      </w:pPr>
      <w:r>
        <w:separator/>
      </w:r>
    </w:p>
  </w:footnote>
  <w:footnote w:type="continuationSeparator" w:id="0">
    <w:p w:rsidR="00C203FE" w:rsidRDefault="00C203FE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AFD"/>
    <w:rsid w:val="00082C00"/>
    <w:rsid w:val="00092463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6DD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2457"/>
    <w:rsid w:val="003D6771"/>
    <w:rsid w:val="003E2D17"/>
    <w:rsid w:val="003E6DFD"/>
    <w:rsid w:val="003E7CAA"/>
    <w:rsid w:val="003F10C3"/>
    <w:rsid w:val="003F21ED"/>
    <w:rsid w:val="003F3B21"/>
    <w:rsid w:val="003F4C05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97734"/>
    <w:rsid w:val="005A4529"/>
    <w:rsid w:val="005C3C01"/>
    <w:rsid w:val="005C4B16"/>
    <w:rsid w:val="005D5315"/>
    <w:rsid w:val="005E6AE6"/>
    <w:rsid w:val="00603815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4E91"/>
    <w:rsid w:val="00676BC5"/>
    <w:rsid w:val="00682625"/>
    <w:rsid w:val="00687F7F"/>
    <w:rsid w:val="00696C91"/>
    <w:rsid w:val="006A2540"/>
    <w:rsid w:val="006B0959"/>
    <w:rsid w:val="006B1173"/>
    <w:rsid w:val="006C32AC"/>
    <w:rsid w:val="006C4003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7188F"/>
    <w:rsid w:val="007722E9"/>
    <w:rsid w:val="00775A57"/>
    <w:rsid w:val="00791420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9001C8"/>
    <w:rsid w:val="00917852"/>
    <w:rsid w:val="00932DBF"/>
    <w:rsid w:val="0094235F"/>
    <w:rsid w:val="00946065"/>
    <w:rsid w:val="009467BD"/>
    <w:rsid w:val="00946DC6"/>
    <w:rsid w:val="00947E83"/>
    <w:rsid w:val="00964FAB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1E30"/>
    <w:rsid w:val="00BC2EC8"/>
    <w:rsid w:val="00BE14D7"/>
    <w:rsid w:val="00BE1A29"/>
    <w:rsid w:val="00BE49A2"/>
    <w:rsid w:val="00BF3B8F"/>
    <w:rsid w:val="00BF783C"/>
    <w:rsid w:val="00C04D68"/>
    <w:rsid w:val="00C07AFD"/>
    <w:rsid w:val="00C07DB1"/>
    <w:rsid w:val="00C12C85"/>
    <w:rsid w:val="00C203FE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2568"/>
    <w:rsid w:val="00D75099"/>
    <w:rsid w:val="00D75B7B"/>
    <w:rsid w:val="00D86E3E"/>
    <w:rsid w:val="00D956FA"/>
    <w:rsid w:val="00D97A30"/>
    <w:rsid w:val="00DA662F"/>
    <w:rsid w:val="00DC355F"/>
    <w:rsid w:val="00DD018A"/>
    <w:rsid w:val="00DD3FDF"/>
    <w:rsid w:val="00DE0191"/>
    <w:rsid w:val="00DE41B7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45B2B"/>
    <w:rsid w:val="00F51AA4"/>
    <w:rsid w:val="00F52C46"/>
    <w:rsid w:val="00F576DB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0957F-608D-433F-A29A-09ADDB0A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Баранник Светлана Юрьевна</cp:lastModifiedBy>
  <cp:revision>7</cp:revision>
  <cp:lastPrinted>2017-02-09T06:53:00Z</cp:lastPrinted>
  <dcterms:created xsi:type="dcterms:W3CDTF">2017-02-07T02:13:00Z</dcterms:created>
  <dcterms:modified xsi:type="dcterms:W3CDTF">2017-02-09T07:42:00Z</dcterms:modified>
</cp:coreProperties>
</file>